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13" w:rsidRPr="00AF1624" w:rsidRDefault="005E3813" w:rsidP="005E3813">
      <w:pPr>
        <w:widowControl/>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附件一：</w:t>
      </w:r>
    </w:p>
    <w:p w:rsidR="005E3813" w:rsidRPr="00AF1624" w:rsidRDefault="005E3813" w:rsidP="005E3813">
      <w:pPr>
        <w:widowControl/>
        <w:jc w:val="left"/>
        <w:rPr>
          <w:rFonts w:ascii="华文仿宋" w:eastAsia="华文仿宋" w:hAnsi="华文仿宋"/>
          <w:color w:val="0D0D0D" w:themeColor="text1" w:themeTint="F2"/>
          <w:sz w:val="32"/>
          <w:szCs w:val="32"/>
        </w:rPr>
      </w:pPr>
    </w:p>
    <w:p w:rsidR="005E3813" w:rsidRPr="00AF1624" w:rsidRDefault="005E3813" w:rsidP="005E3813">
      <w:pPr>
        <w:widowControl/>
        <w:jc w:val="center"/>
        <w:rPr>
          <w:rFonts w:ascii="华文仿宋" w:eastAsia="华文仿宋" w:hAnsi="华文仿宋"/>
          <w:b/>
          <w:color w:val="0D0D0D" w:themeColor="text1" w:themeTint="F2"/>
          <w:sz w:val="36"/>
          <w:szCs w:val="36"/>
        </w:rPr>
      </w:pPr>
      <w:r w:rsidRPr="00AF1624">
        <w:rPr>
          <w:rFonts w:ascii="华文仿宋" w:eastAsia="华文仿宋" w:hAnsi="华文仿宋" w:hint="eastAsia"/>
          <w:b/>
          <w:color w:val="0D0D0D" w:themeColor="text1" w:themeTint="F2"/>
          <w:sz w:val="36"/>
          <w:szCs w:val="36"/>
        </w:rPr>
        <w:t>讲师简介</w:t>
      </w:r>
    </w:p>
    <w:p w:rsidR="005E3813" w:rsidRPr="00AF1624" w:rsidRDefault="005E3813" w:rsidP="005E3813">
      <w:pPr>
        <w:widowControl/>
        <w:jc w:val="left"/>
        <w:rPr>
          <w:rFonts w:ascii="华文仿宋" w:eastAsia="华文仿宋" w:hAnsi="华文仿宋"/>
          <w:b/>
          <w:color w:val="0D0D0D" w:themeColor="text1" w:themeTint="F2"/>
          <w:sz w:val="32"/>
          <w:szCs w:val="32"/>
        </w:rPr>
      </w:pP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一、“穿透式监管”</w:t>
      </w: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主讲人：谢青</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“穿透式监管”是2018年金融监管关键词之一。凭借对金融市场的深入了解以及监管动向的入微观察，被多家国内外媒体评为投资基金行业领先律师的谢青律师将为您解说各类“穿透”新</w:t>
      </w:r>
      <w:proofErr w:type="gramStart"/>
      <w:r w:rsidRPr="00AF1624">
        <w:rPr>
          <w:rFonts w:ascii="华文仿宋" w:eastAsia="华文仿宋" w:hAnsi="华文仿宋" w:hint="eastAsia"/>
          <w:color w:val="0D0D0D" w:themeColor="text1" w:themeTint="F2"/>
          <w:sz w:val="32"/>
          <w:szCs w:val="32"/>
        </w:rPr>
        <w:t>规</w:t>
      </w:r>
      <w:proofErr w:type="gramEnd"/>
      <w:r w:rsidRPr="00AF1624">
        <w:rPr>
          <w:rFonts w:ascii="华文仿宋" w:eastAsia="华文仿宋" w:hAnsi="华文仿宋" w:hint="eastAsia"/>
          <w:color w:val="0D0D0D" w:themeColor="text1" w:themeTint="F2"/>
          <w:sz w:val="32"/>
          <w:szCs w:val="32"/>
        </w:rPr>
        <w:t>的由来及演变，评估对投资和交易业务的影响，并试图预测其发展走向。</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二、“证券监管执法动向及趋势”</w:t>
      </w: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主讲人：吴曼</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拥有十三年证监系统一线监管及多次参与资本市场法规制定的丰富经历，吴曼律师凭借深厚的专业积累和行业经验，对2015年股市异常波动以来证券监管执法的新动向和新趋势进行全方位的解读。</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三、“证券犯罪典型案例分析”</w:t>
      </w: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lastRenderedPageBreak/>
        <w:t>主讲人：武雷</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君合 “重案组”致力于证券刑事案件专门领域，经办若干重大复杂刑案，对位骨干律师皆为长期从事刑事司法工作的前资深检察官和前资深法官。武雷律师作为君合“重案组”组长，将对君合“重案组”经办的典型刑事案例进行深度剖析。</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四、“金融机构违反投资者适当性义务的民事责任”</w:t>
      </w: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主讲人：郑玉</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郑玉曾就职于上海检察机关金融检察部门，拥有十一年出庭公诉、检察监督经验的前资深检察官，将从金融机构的投资者适当性规定处罚，解析司法实践中认定民事责任的判断标准。</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五、“数据安全与资本市场”</w:t>
      </w:r>
    </w:p>
    <w:p w:rsidR="005E3813" w:rsidRPr="00AF1624" w:rsidRDefault="005E3813" w:rsidP="005E3813">
      <w:pPr>
        <w:widowControl/>
        <w:ind w:firstLineChars="200" w:firstLine="641"/>
        <w:jc w:val="left"/>
        <w:rPr>
          <w:rFonts w:ascii="华文仿宋" w:eastAsia="华文仿宋" w:hAnsi="华文仿宋"/>
          <w:b/>
          <w:color w:val="0D0D0D" w:themeColor="text1" w:themeTint="F2"/>
          <w:sz w:val="32"/>
          <w:szCs w:val="32"/>
        </w:rPr>
      </w:pPr>
      <w:r w:rsidRPr="00AF1624">
        <w:rPr>
          <w:rFonts w:ascii="华文仿宋" w:eastAsia="华文仿宋" w:hAnsi="华文仿宋" w:hint="eastAsia"/>
          <w:b/>
          <w:color w:val="0D0D0D" w:themeColor="text1" w:themeTint="F2"/>
          <w:sz w:val="32"/>
          <w:szCs w:val="32"/>
        </w:rPr>
        <w:t>主讲人：陈歆</w:t>
      </w:r>
    </w:p>
    <w:p w:rsidR="005E3813" w:rsidRPr="00AF1624" w:rsidRDefault="005E3813" w:rsidP="005E3813">
      <w:pPr>
        <w:widowControl/>
        <w:ind w:firstLineChars="200" w:firstLine="640"/>
        <w:jc w:val="left"/>
        <w:rPr>
          <w:rFonts w:ascii="华文仿宋" w:eastAsia="华文仿宋" w:hAnsi="华文仿宋"/>
          <w:color w:val="0D0D0D" w:themeColor="text1" w:themeTint="F2"/>
          <w:sz w:val="32"/>
          <w:szCs w:val="32"/>
        </w:rPr>
      </w:pPr>
      <w:r w:rsidRPr="00AF1624">
        <w:rPr>
          <w:rFonts w:ascii="华文仿宋" w:eastAsia="华文仿宋" w:hAnsi="华文仿宋" w:hint="eastAsia"/>
          <w:color w:val="0D0D0D" w:themeColor="text1" w:themeTint="F2"/>
          <w:sz w:val="32"/>
          <w:szCs w:val="32"/>
        </w:rPr>
        <w:t>网络安全法与证券基金经营机构存在着必然联系。对于买方以及卖方机构，数据保护和信息安全已经不拘泥于一般性的合</w:t>
      </w:r>
      <w:proofErr w:type="gramStart"/>
      <w:r w:rsidRPr="00AF1624">
        <w:rPr>
          <w:rFonts w:ascii="华文仿宋" w:eastAsia="华文仿宋" w:hAnsi="华文仿宋" w:hint="eastAsia"/>
          <w:color w:val="0D0D0D" w:themeColor="text1" w:themeTint="F2"/>
          <w:sz w:val="32"/>
          <w:szCs w:val="32"/>
        </w:rPr>
        <w:t>规</w:t>
      </w:r>
      <w:proofErr w:type="gramEnd"/>
      <w:r w:rsidRPr="00AF1624">
        <w:rPr>
          <w:rFonts w:ascii="华文仿宋" w:eastAsia="华文仿宋" w:hAnsi="华文仿宋" w:hint="eastAsia"/>
          <w:color w:val="0D0D0D" w:themeColor="text1" w:themeTint="F2"/>
          <w:sz w:val="32"/>
          <w:szCs w:val="32"/>
        </w:rPr>
        <w:t>要求，还可能涉及行政以及刑事处罚。拥有十余年服务金融机构的陈歆律师将对交易中容易被忽视的法律要求进行阐述及解析，以规避潜在的风险以及陷阱。</w:t>
      </w:r>
    </w:p>
    <w:p w:rsidR="00FE7FBF" w:rsidRPr="005E3813" w:rsidRDefault="00FE7FBF">
      <w:bookmarkStart w:id="0" w:name="_GoBack"/>
      <w:bookmarkEnd w:id="0"/>
    </w:p>
    <w:sectPr w:rsidR="00FE7FBF" w:rsidRPr="005E3813" w:rsidSect="005E3813">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13"/>
    <w:rsid w:val="005E3813"/>
    <w:rsid w:val="00FE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zxy</cp:lastModifiedBy>
  <cp:revision>1</cp:revision>
  <dcterms:created xsi:type="dcterms:W3CDTF">2018-04-09T08:33:00Z</dcterms:created>
  <dcterms:modified xsi:type="dcterms:W3CDTF">2018-04-09T08:33:00Z</dcterms:modified>
</cp:coreProperties>
</file>