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C" w:rsidRDefault="00376B9C" w:rsidP="00376B9C">
      <w:pPr>
        <w:spacing w:line="5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附件3：</w:t>
      </w:r>
    </w:p>
    <w:p w:rsidR="00376B9C" w:rsidRDefault="00376B9C" w:rsidP="00376B9C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76B9C" w:rsidRDefault="00376B9C" w:rsidP="00376B9C">
      <w:pPr>
        <w:spacing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064C12">
        <w:rPr>
          <w:rFonts w:ascii="华文仿宋" w:eastAsia="华文仿宋" w:hAnsi="华文仿宋" w:hint="eastAsia"/>
          <w:b/>
          <w:sz w:val="44"/>
          <w:szCs w:val="44"/>
        </w:rPr>
        <w:t>“衍生品在全球资管行业投资管理及产品设计的应用与展望”研讨会</w:t>
      </w:r>
      <w:r w:rsidRPr="00DF191E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376B9C" w:rsidRDefault="00376B9C" w:rsidP="00376B9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376B9C" w:rsidRDefault="00376B9C" w:rsidP="00376B9C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2127"/>
        <w:gridCol w:w="2979"/>
        <w:gridCol w:w="3012"/>
      </w:tblGrid>
      <w:tr w:rsidR="00376B9C" w:rsidRPr="00060565" w:rsidTr="005417FF">
        <w:trPr>
          <w:trHeight w:val="9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06056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06056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06056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06056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06056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76B9C" w:rsidRPr="00060565" w:rsidTr="005417FF">
        <w:trPr>
          <w:trHeight w:val="98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376B9C" w:rsidRPr="00060565" w:rsidTr="005417FF">
        <w:trPr>
          <w:trHeight w:val="110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376B9C" w:rsidRPr="00060565" w:rsidTr="005417FF">
        <w:trPr>
          <w:trHeight w:val="110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9C" w:rsidRPr="00060565" w:rsidRDefault="00376B9C" w:rsidP="005417FF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6B9C" w:rsidRDefault="00376B9C" w:rsidP="00376B9C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376B9C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376B9C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376B9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B9C"/>
    <w:rsid w:val="00242961"/>
    <w:rsid w:val="002578EA"/>
    <w:rsid w:val="002E3B9E"/>
    <w:rsid w:val="00376B9C"/>
    <w:rsid w:val="003B71EA"/>
    <w:rsid w:val="003C5B14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76B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376B9C"/>
    <w:rPr>
      <w:rFonts w:ascii="Calibri" w:hAnsi="Calibr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2019-02-11T08:36:00Z</dcterms:created>
  <dcterms:modified xsi:type="dcterms:W3CDTF">2019-02-11T08:36:00Z</dcterms:modified>
</cp:coreProperties>
</file>